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AE" w:rsidRPr="005674CA" w:rsidRDefault="00F028AA">
      <w:pPr>
        <w:spacing w:line="288" w:lineRule="atLeast"/>
        <w:jc w:val="right"/>
        <w:rPr>
          <w:rFonts w:ascii="PT Astra Serif" w:hAnsi="PT Astra Serif" w:cs="PT Astra Serif" w:hint="eastAsia"/>
          <w:color w:val="00000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z w:val="28"/>
          <w:szCs w:val="28"/>
        </w:rPr>
        <w:t>Проект</w:t>
      </w:r>
    </w:p>
    <w:p w:rsidR="001B74AE" w:rsidRPr="005674CA" w:rsidRDefault="00F028AA">
      <w:pPr>
        <w:spacing w:line="240" w:lineRule="exact"/>
        <w:ind w:firstLine="0"/>
        <w:jc w:val="center"/>
        <w:rPr>
          <w:rFonts w:ascii="PT Astra Serif" w:hAnsi="PT Astra Serif" w:cs="PT Astra Serif" w:hint="eastAsia"/>
          <w:color w:val="00000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z w:val="28"/>
          <w:szCs w:val="28"/>
        </w:rPr>
        <w:t>ЗАКОН</w:t>
      </w:r>
    </w:p>
    <w:p w:rsidR="001B74AE" w:rsidRPr="005674CA" w:rsidRDefault="001B74AE">
      <w:pPr>
        <w:spacing w:line="240" w:lineRule="exact"/>
        <w:ind w:firstLine="0"/>
        <w:jc w:val="center"/>
        <w:rPr>
          <w:rFonts w:ascii="PT Astra Serif" w:hAnsi="PT Astra Serif" w:cs="PT Astra Serif" w:hint="eastAsia"/>
          <w:color w:val="000000"/>
          <w:sz w:val="28"/>
          <w:szCs w:val="28"/>
        </w:rPr>
      </w:pPr>
    </w:p>
    <w:p w:rsidR="001B74AE" w:rsidRPr="005674CA" w:rsidRDefault="00F028AA">
      <w:pPr>
        <w:spacing w:line="240" w:lineRule="exact"/>
        <w:ind w:firstLine="0"/>
        <w:jc w:val="center"/>
        <w:rPr>
          <w:rFonts w:ascii="PT Astra Serif" w:hAnsi="PT Astra Serif" w:cs="PT Astra Serif" w:hint="eastAsia"/>
          <w:color w:val="00000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z w:val="28"/>
          <w:szCs w:val="28"/>
        </w:rPr>
        <w:t>Алтайского края</w:t>
      </w:r>
    </w:p>
    <w:p w:rsidR="001B74AE" w:rsidRPr="005674CA" w:rsidRDefault="001B74AE">
      <w:pPr>
        <w:spacing w:line="240" w:lineRule="exact"/>
        <w:ind w:firstLine="0"/>
        <w:jc w:val="center"/>
        <w:rPr>
          <w:rFonts w:ascii="PT Astra Serif" w:hAnsi="PT Astra Serif" w:cs="PT Astra Serif" w:hint="eastAsia"/>
          <w:color w:val="000000"/>
          <w:sz w:val="28"/>
          <w:szCs w:val="28"/>
        </w:rPr>
      </w:pPr>
    </w:p>
    <w:p w:rsidR="001B74AE" w:rsidRPr="005674CA" w:rsidRDefault="00F028AA">
      <w:pPr>
        <w:ind w:left="709" w:right="709" w:firstLine="0"/>
        <w:jc w:val="center"/>
        <w:rPr>
          <w:rFonts w:ascii="PT Astra Serif" w:hAnsi="PT Astra Serif" w:cs="PT Astra Serif" w:hint="eastAsia"/>
          <w:b/>
          <w:color w:val="000000"/>
          <w:sz w:val="28"/>
          <w:szCs w:val="28"/>
        </w:rPr>
      </w:pPr>
      <w:r w:rsidRPr="005674CA">
        <w:rPr>
          <w:rFonts w:ascii="PT Astra Serif" w:hAnsi="PT Astra Serif" w:cs="PT Astra Serif"/>
          <w:b/>
          <w:color w:val="000000"/>
          <w:sz w:val="28"/>
          <w:szCs w:val="28"/>
        </w:rPr>
        <w:t>Об основах регионального государственного контроля (надзора) в области технического состояния и эксплуатаци</w:t>
      </w:r>
      <w:r w:rsidR="005674CA" w:rsidRPr="005674CA">
        <w:rPr>
          <w:rFonts w:ascii="PT Astra Serif" w:hAnsi="PT Astra Serif" w:cs="PT Astra Serif"/>
          <w:b/>
          <w:color w:val="000000"/>
          <w:sz w:val="28"/>
          <w:szCs w:val="28"/>
        </w:rPr>
        <w:t>и аттракционов в Алтайском крае</w:t>
      </w:r>
      <w:r w:rsidRPr="005674CA">
        <w:rPr>
          <w:rFonts w:ascii="PT Astra Serif" w:hAnsi="PT Astra Serif" w:cs="PT Astra Serif"/>
          <w:b/>
          <w:color w:val="000000"/>
          <w:sz w:val="28"/>
          <w:szCs w:val="28"/>
        </w:rPr>
        <w:t xml:space="preserve"> и о внесении изменений </w:t>
      </w:r>
      <w:r w:rsidRPr="005674CA">
        <w:rPr>
          <w:rFonts w:ascii="PT Astra Serif" w:hAnsi="PT Astra Serif" w:cs="PT Astra Serif"/>
          <w:b/>
          <w:color w:val="000000"/>
          <w:sz w:val="28"/>
          <w:szCs w:val="28"/>
        </w:rPr>
        <w:br w:type="textWrapping" w:clear="all"/>
        <w:t xml:space="preserve">в закон Алтайского края «Об основах регионального государственного </w:t>
      </w:r>
      <w:r w:rsidR="00611767" w:rsidRPr="00611767">
        <w:rPr>
          <w:rFonts w:ascii="PT Astra Serif" w:hAnsi="PT Astra Serif" w:cs="PT Astra Serif"/>
          <w:b/>
          <w:color w:val="000000"/>
          <w:sz w:val="28"/>
          <w:szCs w:val="28"/>
        </w:rPr>
        <w:t>контроля (надзора)</w:t>
      </w:r>
      <w:r w:rsidRPr="005674CA">
        <w:rPr>
          <w:rFonts w:ascii="PT Astra Serif" w:hAnsi="PT Astra Serif" w:cs="PT Astra Serif"/>
          <w:b/>
          <w:color w:val="000000"/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 в Алтайском крае»</w:t>
      </w:r>
    </w:p>
    <w:p w:rsidR="001B74AE" w:rsidRPr="005674CA" w:rsidRDefault="001B74AE">
      <w:pPr>
        <w:ind w:left="709" w:right="709"/>
        <w:jc w:val="center"/>
        <w:rPr>
          <w:rFonts w:ascii="PT Astra Serif" w:hAnsi="PT Astra Serif" w:cs="PT Astra Serif" w:hint="eastAsia"/>
          <w:color w:val="000000"/>
          <w:sz w:val="28"/>
          <w:szCs w:val="28"/>
        </w:rPr>
      </w:pPr>
    </w:p>
    <w:p w:rsidR="001B74AE" w:rsidRPr="005674CA" w:rsidRDefault="001B74AE">
      <w:pPr>
        <w:ind w:left="709" w:right="709"/>
        <w:jc w:val="center"/>
        <w:rPr>
          <w:rFonts w:ascii="PT Astra Serif" w:hAnsi="PT Astra Serif" w:cs="PT Astra Serif" w:hint="eastAsia"/>
          <w:color w:val="000000"/>
          <w:sz w:val="28"/>
          <w:szCs w:val="28"/>
        </w:rPr>
      </w:pPr>
    </w:p>
    <w:p w:rsidR="001B74AE" w:rsidRPr="005674CA" w:rsidRDefault="00F028AA" w:rsidP="005674CA">
      <w:pPr>
        <w:pStyle w:val="ConsPlusTitle"/>
        <w:widowControl/>
        <w:outlineLvl w:val="0"/>
        <w:rPr>
          <w:rFonts w:ascii="PT Astra Serif" w:hAnsi="PT Astra Serif" w:cs="PT Astra Serif"/>
          <w:sz w:val="28"/>
          <w:szCs w:val="28"/>
        </w:rPr>
      </w:pPr>
      <w:r w:rsidRPr="005674CA">
        <w:rPr>
          <w:rFonts w:ascii="PT Astra Serif" w:hAnsi="PT Astra Serif" w:cs="PT Astra Serif"/>
          <w:sz w:val="28"/>
          <w:szCs w:val="28"/>
        </w:rPr>
        <w:t>Статья</w:t>
      </w:r>
      <w:r w:rsidRPr="005674CA">
        <w:rPr>
          <w:rStyle w:val="aff3"/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5674CA">
        <w:rPr>
          <w:rFonts w:ascii="PT Astra Serif" w:hAnsi="PT Astra Serif" w:cs="PT Astra Serif"/>
          <w:sz w:val="28"/>
          <w:szCs w:val="28"/>
        </w:rPr>
        <w:t>1</w:t>
      </w:r>
    </w:p>
    <w:p w:rsidR="001B74AE" w:rsidRPr="005674CA" w:rsidRDefault="001B74AE" w:rsidP="005674C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 w:rsidP="005674C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1. Настоящий Закон регулирует отдельные отношения, связанные с осуществлением регионального государственного контроля (надзора) в области технического состояния и эксплуатации аттракционов на территории Алтайского края (далее – региональный го</w:t>
      </w:r>
      <w:r w:rsidR="005674CA"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сударственный контроль (надзор)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.</w:t>
      </w:r>
    </w:p>
    <w:p w:rsidR="001B74AE" w:rsidRPr="005674CA" w:rsidRDefault="00F028A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2. Правовое регулирование в сфере регионального государственного контроля (надзора) осуществляется в соответствии с </w:t>
      </w:r>
      <w:hyperlink r:id="rId7" w:history="1"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Федеральным законом</w:t>
        </w:r>
      </w:hyperlink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  <w:shd w:val="clear" w:color="auto" w:fill="FFFFFF"/>
        </w:rPr>
        <w:t xml:space="preserve">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hyperlink r:id="rId8" w:history="1"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Федеральным законом</w:t>
        </w:r>
      </w:hyperlink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  <w:shd w:val="clear" w:color="auto" w:fill="FFFFFF"/>
        </w:rPr>
        <w:t xml:space="preserve">от 21 декабря 2021 года № </w:t>
      </w:r>
      <w:r w:rsidRPr="005674CA">
        <w:rPr>
          <w:rStyle w:val="aff6"/>
          <w:rFonts w:ascii="PT Astra Serif" w:hAnsi="PT Astra Serif" w:cs="PT Astra Serif"/>
          <w:i w:val="0"/>
          <w:iCs w:val="0"/>
          <w:color w:val="000000"/>
          <w:spacing w:val="0"/>
          <w:sz w:val="28"/>
          <w:szCs w:val="28"/>
        </w:rPr>
        <w:t>414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  <w:shd w:val="clear" w:color="auto" w:fill="FFFFFF"/>
        </w:rPr>
        <w:t>-</w:t>
      </w:r>
      <w:r w:rsidRPr="005674CA">
        <w:rPr>
          <w:rStyle w:val="aff6"/>
          <w:rFonts w:ascii="PT Astra Serif" w:hAnsi="PT Astra Serif" w:cs="PT Astra Serif"/>
          <w:i w:val="0"/>
          <w:iCs w:val="0"/>
          <w:color w:val="000000"/>
          <w:spacing w:val="0"/>
          <w:sz w:val="28"/>
          <w:szCs w:val="28"/>
        </w:rPr>
        <w:t>ФЗ «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Федерации», иными федеральными законами, настоящим Законом и иными нормативными правовыми актами Российской Федерации и Алтайского края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.</w:t>
      </w:r>
    </w:p>
    <w:p w:rsidR="001B74AE" w:rsidRPr="005674CA" w:rsidRDefault="00F028A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3.</w:t>
      </w:r>
      <w:r w:rsidRPr="005674CA">
        <w:rPr>
          <w:rStyle w:val="aff3"/>
          <w:rFonts w:ascii="PT Astra Serif" w:hAnsi="PT Astra Serif" w:cs="PT Astra Serif"/>
          <w:color w:val="000000"/>
          <w:spacing w:val="0"/>
          <w:sz w:val="28"/>
          <w:szCs w:val="28"/>
        </w:rPr>
        <w:t> 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Понятия, используемые в настоящем Законе, применяются в значениях, установленных нормативными правовыми актами Российской Федерации.</w:t>
      </w:r>
    </w:p>
    <w:p w:rsidR="001B74AE" w:rsidRPr="005674CA" w:rsidRDefault="001B74AE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 w:rsidP="005674CA">
      <w:pPr>
        <w:pStyle w:val="aff5"/>
        <w:ind w:left="0" w:firstLine="709"/>
        <w:rPr>
          <w:rStyle w:val="aff3"/>
          <w:rFonts w:ascii="PT Astra Serif" w:hAnsi="PT Astra Serif" w:cs="PT Astra Serif"/>
          <w:color w:val="000000"/>
          <w:sz w:val="28"/>
          <w:szCs w:val="28"/>
        </w:rPr>
      </w:pPr>
      <w:bookmarkStart w:id="0" w:name="sub_2"/>
      <w:r w:rsidRPr="005674CA">
        <w:rPr>
          <w:rStyle w:val="aff3"/>
          <w:rFonts w:ascii="PT Astra Serif" w:hAnsi="PT Astra Serif" w:cs="PT Astra Serif"/>
          <w:color w:val="000000"/>
          <w:sz w:val="28"/>
          <w:szCs w:val="28"/>
        </w:rPr>
        <w:t>Статья 2</w:t>
      </w:r>
    </w:p>
    <w:bookmarkEnd w:id="0"/>
    <w:p w:rsidR="001B74AE" w:rsidRPr="005674CA" w:rsidRDefault="001B74AE" w:rsidP="005674C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 w:rsidP="005674C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Предметом регионального государственного контроля (надзора) является оценка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1B74AE" w:rsidRPr="005674CA" w:rsidRDefault="00F028AA">
      <w:pPr>
        <w:numPr>
          <w:ilvl w:val="0"/>
          <w:numId w:val="11"/>
        </w:numPr>
        <w:ind w:left="0" w:firstLine="709"/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установленных Правительством Российской Федерации, </w:t>
      </w:r>
      <w:r w:rsidRPr="005674CA">
        <w:rPr>
          <w:rFonts w:ascii="PT Astra Serif" w:hAnsi="PT Astra Serif" w:cs="PT Astra Serif"/>
          <w:spacing w:val="0"/>
          <w:sz w:val="28"/>
          <w:szCs w:val="28"/>
        </w:rPr>
        <w:t>–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к техническому состоянию и эксплуатации аттракционов;</w:t>
      </w:r>
    </w:p>
    <w:p w:rsidR="001B74AE" w:rsidRPr="005674CA" w:rsidRDefault="00F028AA">
      <w:pPr>
        <w:numPr>
          <w:ilvl w:val="0"/>
          <w:numId w:val="11"/>
        </w:numPr>
        <w:ind w:left="0" w:firstLine="709"/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установленных </w:t>
      </w:r>
      <w:hyperlink r:id="rId9" w:history="1"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техническим регламентом</w:t>
        </w:r>
      </w:hyperlink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Евразийского экономического союза «О безопасности аттракционов», принятым </w:t>
      </w:r>
      <w:hyperlink r:id="rId10" w:history="1"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решением</w:t>
        </w:r>
      </w:hyperlink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Совета Евразийской экономической комиссии от 18 октября 2016 года № 114, </w:t>
      </w:r>
      <w:r w:rsidRPr="005674CA">
        <w:rPr>
          <w:rFonts w:ascii="PT Astra Serif" w:hAnsi="PT Astra Serif" w:cs="PT Astra Serif"/>
          <w:spacing w:val="0"/>
          <w:sz w:val="28"/>
          <w:szCs w:val="28"/>
        </w:rPr>
        <w:t>–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к безопасности аттракционов.</w:t>
      </w:r>
    </w:p>
    <w:p w:rsidR="001B74AE" w:rsidRPr="005674CA" w:rsidRDefault="001B74AE">
      <w:pPr>
        <w:pStyle w:val="aff5"/>
        <w:ind w:left="0" w:firstLine="709"/>
        <w:rPr>
          <w:rStyle w:val="aff3"/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</w:p>
    <w:p w:rsidR="001B74AE" w:rsidRPr="005674CA" w:rsidRDefault="001B74AE">
      <w:pPr>
        <w:pStyle w:val="aff5"/>
        <w:ind w:left="0" w:firstLine="709"/>
        <w:rPr>
          <w:rStyle w:val="aff3"/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</w:p>
    <w:p w:rsidR="005674CA" w:rsidRPr="005674CA" w:rsidRDefault="005674CA" w:rsidP="005674CA">
      <w:pPr>
        <w:rPr>
          <w:sz w:val="28"/>
          <w:szCs w:val="28"/>
        </w:rPr>
      </w:pPr>
    </w:p>
    <w:p w:rsidR="001B74AE" w:rsidRPr="005674CA" w:rsidRDefault="00F028AA" w:rsidP="005674CA">
      <w:pPr>
        <w:pStyle w:val="aff5"/>
        <w:ind w:left="0" w:firstLine="709"/>
        <w:rPr>
          <w:rStyle w:val="aff3"/>
          <w:rFonts w:ascii="PT Astra Serif" w:hAnsi="PT Astra Serif" w:cs="PT Astra Serif"/>
          <w:color w:val="000000"/>
          <w:sz w:val="28"/>
          <w:szCs w:val="28"/>
        </w:rPr>
      </w:pPr>
      <w:r w:rsidRPr="005674CA">
        <w:rPr>
          <w:rStyle w:val="aff3"/>
          <w:rFonts w:ascii="PT Astra Serif" w:hAnsi="PT Astra Serif" w:cs="PT Astra Serif"/>
          <w:color w:val="000000"/>
          <w:sz w:val="28"/>
          <w:szCs w:val="28"/>
        </w:rPr>
        <w:lastRenderedPageBreak/>
        <w:t>Статья 3</w:t>
      </w:r>
      <w:bookmarkStart w:id="1" w:name="sub_13"/>
    </w:p>
    <w:p w:rsidR="001B74AE" w:rsidRPr="005674CA" w:rsidRDefault="001B74AE" w:rsidP="005674CA">
      <w:pPr>
        <w:pStyle w:val="aff5"/>
        <w:ind w:left="0" w:firstLine="709"/>
        <w:rPr>
          <w:rFonts w:ascii="PT Astra Serif" w:hAnsi="PT Astra Serif" w:cs="PT Astra Serif"/>
          <w:sz w:val="28"/>
          <w:szCs w:val="28"/>
        </w:rPr>
      </w:pPr>
    </w:p>
    <w:p w:rsidR="001B74AE" w:rsidRPr="005674CA" w:rsidRDefault="00F028AA" w:rsidP="005674CA">
      <w:pPr>
        <w:pStyle w:val="aff5"/>
        <w:ind w:left="0" w:firstLine="709"/>
        <w:rPr>
          <w:rFonts w:ascii="PT Astra Serif" w:hAnsi="PT Astra Serif" w:cs="PT Astra Serif"/>
          <w:sz w:val="28"/>
          <w:szCs w:val="28"/>
        </w:rPr>
      </w:pPr>
      <w:r w:rsidRPr="005674CA">
        <w:rPr>
          <w:rFonts w:ascii="PT Astra Serif" w:hAnsi="PT Astra Serif" w:cs="PT Astra Serif"/>
          <w:sz w:val="28"/>
          <w:szCs w:val="28"/>
        </w:rPr>
        <w:t>1.</w:t>
      </w:r>
      <w:r w:rsidRPr="005674CA">
        <w:rPr>
          <w:rStyle w:val="aff3"/>
          <w:rFonts w:ascii="PT Astra Serif" w:hAnsi="PT Astra Serif" w:cs="PT Astra Serif"/>
          <w:color w:val="000000"/>
          <w:sz w:val="28"/>
          <w:szCs w:val="28"/>
        </w:rPr>
        <w:t> </w:t>
      </w:r>
      <w:r w:rsidRPr="005674CA">
        <w:rPr>
          <w:rFonts w:ascii="PT Astra Serif" w:hAnsi="PT Astra Serif" w:cs="PT Astra Serif"/>
          <w:sz w:val="28"/>
          <w:szCs w:val="28"/>
        </w:rPr>
        <w:t>Региональный государственный контроль (надзор) в области технического состояния и эксплуатации аттракционов является видом регионального государственного контроля (надзора).</w:t>
      </w:r>
    </w:p>
    <w:p w:rsidR="001B74AE" w:rsidRPr="005674CA" w:rsidRDefault="00F028A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2.</w:t>
      </w:r>
      <w:r w:rsidRPr="005674CA">
        <w:rPr>
          <w:rStyle w:val="aff3"/>
          <w:rFonts w:ascii="PT Astra Serif" w:hAnsi="PT Astra Serif" w:cs="PT Astra Serif"/>
          <w:color w:val="000000"/>
          <w:spacing w:val="0"/>
          <w:sz w:val="28"/>
          <w:szCs w:val="28"/>
        </w:rPr>
        <w:t> 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Региональный государственный контроль (надзор) осуществляет орган исполнительной власти Алтайского края, уполномоченный Правительством Алтайского края (далее – уполномоченный орган).</w:t>
      </w:r>
    </w:p>
    <w:p w:rsidR="001B74AE" w:rsidRPr="005674CA" w:rsidRDefault="00F028A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3.</w:t>
      </w:r>
      <w:r w:rsidRPr="005674CA">
        <w:rPr>
          <w:rStyle w:val="aff3"/>
          <w:rFonts w:ascii="PT Astra Serif" w:hAnsi="PT Astra Serif" w:cs="PT Astra Serif"/>
          <w:color w:val="000000"/>
          <w:spacing w:val="0"/>
          <w:sz w:val="28"/>
          <w:szCs w:val="28"/>
        </w:rPr>
        <w:t> 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Порядок организации и осуществления регионального государственного контроля (надзора) устанавливается положением, утверждаемым Правительством Алтайского края.</w:t>
      </w:r>
    </w:p>
    <w:p w:rsidR="001B74AE" w:rsidRPr="005674CA" w:rsidRDefault="00F028AA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4.</w:t>
      </w:r>
      <w:r w:rsidRPr="005674CA">
        <w:rPr>
          <w:rStyle w:val="aff3"/>
          <w:rFonts w:ascii="PT Astra Serif" w:hAnsi="PT Astra Serif" w:cs="PT Astra Serif"/>
          <w:color w:val="000000"/>
          <w:spacing w:val="0"/>
          <w:sz w:val="28"/>
          <w:szCs w:val="28"/>
        </w:rPr>
        <w:t> 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при осуществлении регионального государственного контроля (надзора)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то уполномоченный орган принимает решение о выдаче предписания об устранении выявленных нарушений в порядке, предусмотренном пунктом 1 </w:t>
      </w:r>
      <w:hyperlink r:id="rId11" w:history="1"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части 2</w:t>
        </w:r>
        <w:r w:rsidRPr="005674CA">
          <w:rPr>
            <w:rFonts w:ascii="PT Astra Serif" w:hAnsi="PT Astra Serif" w:cs="PT Astra Serif"/>
            <w:color w:val="000000"/>
            <w:spacing w:val="0"/>
            <w:sz w:val="28"/>
            <w:szCs w:val="28"/>
          </w:rPr>
          <w:t xml:space="preserve"> </w:t>
        </w:r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статьи</w:t>
        </w:r>
        <w:r w:rsidRPr="005674CA">
          <w:rPr>
            <w:rFonts w:ascii="PT Astra Serif" w:hAnsi="PT Astra Serif" w:cs="PT Astra Serif"/>
            <w:color w:val="000000"/>
            <w:spacing w:val="0"/>
            <w:sz w:val="28"/>
            <w:szCs w:val="28"/>
          </w:rPr>
          <w:t xml:space="preserve"> </w:t>
        </w:r>
        <w:r w:rsidRPr="005674CA">
          <w:rPr>
            <w:rStyle w:val="aff4"/>
            <w:rFonts w:ascii="PT Astra Serif" w:hAnsi="PT Astra Serif" w:cs="PT Astra Serif"/>
            <w:color w:val="000000"/>
            <w:spacing w:val="0"/>
            <w:sz w:val="28"/>
            <w:szCs w:val="28"/>
          </w:rPr>
          <w:t>90</w:t>
        </w:r>
      </w:hyperlink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Федерального закона от 31 июля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br/>
        <w:t>2020 года № 248-ФЗ «О государственном контроле (надзоре) и муниципальном контроле в Российской Федерации».</w:t>
      </w:r>
    </w:p>
    <w:p w:rsidR="001B74AE" w:rsidRPr="005674CA" w:rsidRDefault="001B74AE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bookmarkEnd w:id="1"/>
    <w:p w:rsidR="001B74AE" w:rsidRPr="005674CA" w:rsidRDefault="00F028AA">
      <w:pPr>
        <w:pStyle w:val="ConsPlusTitle"/>
        <w:widowControl/>
        <w:rPr>
          <w:rFonts w:ascii="PT Astra Serif" w:hAnsi="PT Astra Serif" w:cs="PT Astra Serif"/>
          <w:sz w:val="28"/>
          <w:szCs w:val="28"/>
        </w:rPr>
      </w:pPr>
      <w:r w:rsidRPr="005674CA">
        <w:rPr>
          <w:rFonts w:ascii="PT Astra Serif" w:hAnsi="PT Astra Serif" w:cs="PT Astra Serif"/>
          <w:sz w:val="28"/>
          <w:szCs w:val="28"/>
        </w:rPr>
        <w:t>Статья 4</w:t>
      </w:r>
    </w:p>
    <w:p w:rsidR="001B74AE" w:rsidRPr="005674CA" w:rsidRDefault="001B74AE" w:rsidP="005674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B74AE" w:rsidRPr="005674CA" w:rsidRDefault="00F028AA" w:rsidP="006360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5674CA">
        <w:rPr>
          <w:rFonts w:ascii="PT Astra Serif" w:hAnsi="PT Astra Serif" w:cs="PT Astra Serif"/>
          <w:sz w:val="28"/>
          <w:szCs w:val="28"/>
        </w:rPr>
        <w:t>Финансовое обеспечение деятельности уполномоченного органа осуществляется за счет средств краевого бюджета.</w:t>
      </w:r>
    </w:p>
    <w:p w:rsidR="001B74AE" w:rsidRPr="005674CA" w:rsidRDefault="001B74AE" w:rsidP="006360EB">
      <w:pPr>
        <w:pStyle w:val="ConsPlusTitle"/>
        <w:widowControl/>
        <w:rPr>
          <w:rFonts w:ascii="PT Astra Serif" w:hAnsi="PT Astra Serif" w:cs="PT Astra Serif"/>
          <w:sz w:val="28"/>
          <w:szCs w:val="28"/>
        </w:rPr>
      </w:pPr>
    </w:p>
    <w:p w:rsidR="001B74AE" w:rsidRPr="005674CA" w:rsidRDefault="00F028AA" w:rsidP="006360EB">
      <w:pPr>
        <w:pStyle w:val="ConsPlusTitle"/>
        <w:widowControl/>
        <w:rPr>
          <w:rFonts w:ascii="PT Astra Serif" w:hAnsi="PT Astra Serif" w:cs="PT Astra Serif"/>
          <w:sz w:val="28"/>
          <w:szCs w:val="28"/>
        </w:rPr>
      </w:pPr>
      <w:r w:rsidRPr="005674CA">
        <w:rPr>
          <w:rFonts w:ascii="PT Astra Serif" w:hAnsi="PT Astra Serif" w:cs="PT Astra Serif"/>
          <w:sz w:val="28"/>
          <w:szCs w:val="28"/>
        </w:rPr>
        <w:t>Статья 5</w:t>
      </w:r>
    </w:p>
    <w:p w:rsidR="001B74AE" w:rsidRPr="005674CA" w:rsidRDefault="001B74AE" w:rsidP="006360EB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 w:rsidP="006360EB">
      <w:pP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Внести в закон Алтайского края от 10 июля 2007 года № 62-ЗС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br w:type="textWrapping" w:clear="all"/>
        <w:t xml:space="preserve">«Об основах регионального государственного </w:t>
      </w:r>
      <w:r w:rsidR="00611767" w:rsidRPr="00611767">
        <w:rPr>
          <w:rFonts w:ascii="PT Astra Serif" w:hAnsi="PT Astra Serif" w:cs="PT Astra Serif"/>
          <w:color w:val="000000"/>
          <w:spacing w:val="0"/>
          <w:sz w:val="28"/>
          <w:szCs w:val="28"/>
        </w:rPr>
        <w:t>контроля (надзора)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 в Алтайском крае» (Сборник законодательства Алтайского края, 2007, № 135, часть I; 2011, № 186, часть I; 2012, № 193, часть I; 2013, № 212, часть I; 2014, № 221, часть I; 2015, № 234; Официальный интернет-портал правовой информации (www.pravo.gov.ru), 8 декабря </w:t>
      </w:r>
      <w:r w:rsidR="00611767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                  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2017 года, 14 декабря 2018 года</w:t>
      </w:r>
      <w:r w:rsidR="005674CA"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,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 24 декабря 2020 года, 12 мая 2022 года) следующие изменения: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1) в наименовании </w:t>
      </w:r>
      <w:r w:rsidR="0059539B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закона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слово «, аттракционов» исключить;</w:t>
      </w:r>
    </w:p>
    <w:p w:rsidR="001B74AE" w:rsidRPr="005674CA" w:rsidRDefault="001B74AE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2) пункт 3 статьи 1 признать утратившим силу;</w:t>
      </w:r>
    </w:p>
    <w:p w:rsidR="001B74AE" w:rsidRPr="005674CA" w:rsidRDefault="001B74AE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 w:rsidP="005674CA">
      <w:pPr>
        <w:pStyle w:val="a3"/>
        <w:numPr>
          <w:ilvl w:val="0"/>
          <w:numId w:val="11"/>
        </w:num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в наименовании и тексте статьи 2 слово «, аттракционов» исключить;</w:t>
      </w:r>
    </w:p>
    <w:p w:rsidR="005674CA" w:rsidRPr="005674CA" w:rsidRDefault="005674CA" w:rsidP="005674CA">
      <w:pPr>
        <w:pStyle w:val="a3"/>
        <w:pBdr>
          <w:right w:val="none" w:sz="255" w:space="0" w:color="FFFFFF"/>
        </w:pBdr>
        <w:ind w:left="1069" w:firstLine="0"/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lastRenderedPageBreak/>
        <w:t>4</w:t>
      </w:r>
      <w:r w:rsidR="005674CA"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) в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абзаце первом статьи 3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5) в статье 4: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а) в абзаце первом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б) в пункте 2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в) в пункте 3.1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г) в пункте 4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д) в пункте 5 слово «, аттракционов» исключить;</w:t>
      </w:r>
    </w:p>
    <w:p w:rsidR="005674CA" w:rsidRPr="005674CA" w:rsidRDefault="005674C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6) в статье 5: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а) в наименовании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б) в части 1 слово «, аттракционов» исключить;</w:t>
      </w:r>
    </w:p>
    <w:p w:rsidR="001B74AE" w:rsidRPr="005674CA" w:rsidRDefault="001B74AE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7) в статье 6: 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а) в пункте 1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б) в пункте 5 слово «, аттракционов» исключить;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в) дополнить пунктом 5.1 следующего содержания: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«5.1) выдачу паспортов самоходных машин и других видов техники и их дубликатов, а также бланков указанных паспортов;»;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г) в пункте 7 слова «технических осмотров» заменить словами «технического осмотра»;</w:t>
      </w:r>
    </w:p>
    <w:p w:rsidR="001B74AE" w:rsidRPr="005674CA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д) в пункте 11 слово «свидетельств» заменить словом «свидетельства»;</w:t>
      </w:r>
    </w:p>
    <w:p w:rsidR="001B74AE" w:rsidRPr="005674CA" w:rsidRDefault="001B74AE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6360EB" w:rsidRDefault="00F028AA">
      <w:pPr>
        <w:pBdr>
          <w:right w:val="none" w:sz="255" w:space="0" w:color="FFFFFF"/>
        </w:pBdr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6360EB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8) в части 6 статьи 7 слова «за техническим состоянием и эксплуатацией» заменить словами «в области технического состояния и эксплуатации», слово </w:t>
      </w:r>
      <w:r w:rsidRPr="006360EB">
        <w:rPr>
          <w:rFonts w:ascii="PT Astra Serif" w:hAnsi="PT Astra Serif" w:cs="PT Astra Serif"/>
          <w:color w:val="000000"/>
          <w:spacing w:val="0"/>
          <w:sz w:val="28"/>
          <w:szCs w:val="28"/>
        </w:rPr>
        <w:br/>
        <w:t>«, аттракционов» исключить.</w:t>
      </w:r>
    </w:p>
    <w:p w:rsidR="001B74AE" w:rsidRPr="005674CA" w:rsidRDefault="001B74AE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</w:p>
    <w:p w:rsidR="001B74AE" w:rsidRPr="005674CA" w:rsidRDefault="00F028AA">
      <w:pPr>
        <w:rPr>
          <w:rFonts w:ascii="PT Astra Serif" w:hAnsi="PT Astra Serif" w:cs="PT Astra Serif" w:hint="eastAsia"/>
          <w:b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b/>
          <w:color w:val="000000"/>
          <w:spacing w:val="0"/>
          <w:sz w:val="28"/>
          <w:szCs w:val="28"/>
        </w:rPr>
        <w:t>Статья 6</w:t>
      </w:r>
    </w:p>
    <w:p w:rsidR="001B74AE" w:rsidRPr="005674CA" w:rsidRDefault="001B74AE">
      <w:pPr>
        <w:spacing w:line="360" w:lineRule="auto"/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</w:p>
    <w:p w:rsidR="001B74AE" w:rsidRPr="005674CA" w:rsidRDefault="00F028AA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>1.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 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Настоящий Закон вступает в силу со дня его официального опубликования, за исключением статей 1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– 4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, пунктов 1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–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 6, подпунктов «а» и «б» пункта 7, пункта 8 статьи 5. </w:t>
      </w:r>
    </w:p>
    <w:p w:rsidR="001B74AE" w:rsidRPr="005674CA" w:rsidRDefault="00F028AA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>2.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> Статьи 1 – 4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, пункты 1 </w:t>
      </w:r>
      <w:r w:rsidRPr="005674CA">
        <w:rPr>
          <w:rFonts w:ascii="PT Astra Serif" w:hAnsi="PT Astra Serif" w:cs="PT Astra Serif"/>
          <w:color w:val="000000"/>
          <w:spacing w:val="0"/>
          <w:sz w:val="28"/>
          <w:szCs w:val="28"/>
        </w:rPr>
        <w:t xml:space="preserve">– 6, подпункты «а» и «б» пункта 7, пункт 8 статьи 5 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>настоящего Закона вступают в силу с 1 января 2023 года.</w:t>
      </w:r>
    </w:p>
    <w:p w:rsidR="001B74AE" w:rsidRPr="005674CA" w:rsidRDefault="00F028AA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>3. </w:t>
      </w:r>
      <w:r w:rsidR="00611767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>С 1 января 2023 года</w:t>
      </w:r>
      <w:bookmarkStart w:id="2" w:name="_GoBack"/>
      <w:bookmarkEnd w:id="2"/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 признать утратившими силу:</w:t>
      </w:r>
    </w:p>
    <w:p w:rsidR="001B74AE" w:rsidRPr="005674CA" w:rsidRDefault="00F028AA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1) пункт 2 статьи 1 закона Алтайского края от 13 декабря 2018 года </w:t>
      </w:r>
      <w:r w:rsidR="006360EB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 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>№</w:t>
      </w:r>
      <w:r w:rsidRPr="005674CA">
        <w:rPr>
          <w:rFonts w:ascii="PT Astra Serif" w:hAnsi="PT Astra Serif" w:cs="PT Astra Serif"/>
          <w:sz w:val="28"/>
          <w:szCs w:val="28"/>
        </w:rPr>
        <w:t> 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96-ЗС «О внесении изменений в закон Алтайского края «Об основах регионального государственного надзора в области технического состояния самоходных машин и других видов техники в Алтайском крае» (Официальный интернет-портал правовой информации (www.pravo.gov.ru), 14 декабря 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br/>
        <w:t>2018 года);</w:t>
      </w:r>
    </w:p>
    <w:p w:rsidR="001B74AE" w:rsidRPr="005674CA" w:rsidRDefault="00F028AA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2) абзац шестой пункта 2 статьи 1 закона Алтайского края от 11 мая </w:t>
      </w:r>
      <w:r w:rsidR="006360EB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  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t xml:space="preserve">2022 года № 32-ЗС «О внесении изменений в закон Алтайского края 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br/>
        <w:t xml:space="preserve">«Об основах регионального государственного надзора в области технического состояния и эксплуатации самоходных машин и других видов техники, </w:t>
      </w:r>
      <w:r w:rsidRPr="005674CA">
        <w:rPr>
          <w:rFonts w:ascii="PT Astra Serif" w:hAnsi="PT Astra Serif" w:cs="PT Astra Serif"/>
          <w:bCs/>
          <w:color w:val="000000"/>
          <w:spacing w:val="0"/>
          <w:sz w:val="28"/>
          <w:szCs w:val="28"/>
        </w:rPr>
        <w:lastRenderedPageBreak/>
        <w:t>аттракционов в Алтайском крае» (Официальный интернет-портал правовой информации (www.pravo.gov.ru), 12 мая 2022 года).</w:t>
      </w:r>
    </w:p>
    <w:p w:rsidR="001B74AE" w:rsidRPr="005674CA" w:rsidRDefault="001B74AE">
      <w:pPr>
        <w:rPr>
          <w:rFonts w:ascii="PT Astra Serif" w:hAnsi="PT Astra Serif" w:cs="PT Astra Serif" w:hint="eastAsia"/>
          <w:bCs/>
          <w:color w:val="000000"/>
          <w:spacing w:val="0"/>
          <w:sz w:val="28"/>
          <w:szCs w:val="28"/>
        </w:rPr>
      </w:pPr>
    </w:p>
    <w:p w:rsidR="001B74AE" w:rsidRPr="005674CA" w:rsidRDefault="001B74AE">
      <w:pPr>
        <w:ind w:firstLine="708"/>
        <w:rPr>
          <w:rFonts w:ascii="PT Astra Serif" w:hAnsi="PT Astra Serif" w:cs="PT Astra Serif" w:hint="eastAsia"/>
          <w:bCs/>
          <w:color w:val="000000"/>
          <w:sz w:val="28"/>
          <w:szCs w:val="28"/>
        </w:rPr>
      </w:pPr>
    </w:p>
    <w:p w:rsidR="001B74AE" w:rsidRPr="005674CA" w:rsidRDefault="001B74AE">
      <w:pPr>
        <w:ind w:firstLine="708"/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</w:p>
    <w:p w:rsidR="001B74AE" w:rsidRPr="005674CA" w:rsidRDefault="00F028AA">
      <w:pPr>
        <w:ind w:firstLine="0"/>
        <w:rPr>
          <w:rFonts w:ascii="PT Astra Serif" w:hAnsi="PT Astra Serif" w:cs="PT Astra Serif" w:hint="eastAsia"/>
          <w:color w:val="000000"/>
          <w:spacing w:val="0"/>
          <w:sz w:val="28"/>
          <w:szCs w:val="28"/>
        </w:rPr>
      </w:pPr>
      <w:r w:rsidRPr="005674CA">
        <w:rPr>
          <w:rFonts w:ascii="PT Astra Serif" w:eastAsia="Times New Roman" w:hAnsi="PT Astra Serif" w:cs="PT Astra Serif"/>
          <w:color w:val="000000"/>
          <w:spacing w:val="0"/>
          <w:sz w:val="28"/>
          <w:szCs w:val="28"/>
        </w:rPr>
        <w:t xml:space="preserve">Губернатор Алтайского края                                                            </w:t>
      </w:r>
      <w:r w:rsidR="005674CA" w:rsidRPr="005674CA">
        <w:rPr>
          <w:rFonts w:ascii="PT Astra Serif" w:eastAsia="Times New Roman" w:hAnsi="PT Astra Serif" w:cs="PT Astra Serif"/>
          <w:color w:val="000000"/>
          <w:spacing w:val="0"/>
          <w:sz w:val="28"/>
          <w:szCs w:val="28"/>
        </w:rPr>
        <w:t xml:space="preserve">    </w:t>
      </w:r>
      <w:r w:rsidRPr="005674CA">
        <w:rPr>
          <w:rFonts w:ascii="PT Astra Serif" w:eastAsia="Times New Roman" w:hAnsi="PT Astra Serif" w:cs="PT Astra Serif"/>
          <w:color w:val="000000"/>
          <w:spacing w:val="0"/>
          <w:sz w:val="28"/>
          <w:szCs w:val="28"/>
        </w:rPr>
        <w:t>В.П. Томенко</w:t>
      </w:r>
    </w:p>
    <w:sectPr w:rsidR="001B74AE" w:rsidRPr="005674CA">
      <w:headerReference w:type="default" r:id="rId12"/>
      <w:headerReference w:type="first" r:id="rId13"/>
      <w:pgSz w:w="11900" w:h="16840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A9" w:rsidRDefault="00D52CA9">
      <w:r>
        <w:separator/>
      </w:r>
    </w:p>
  </w:endnote>
  <w:endnote w:type="continuationSeparator" w:id="0">
    <w:p w:rsidR="00D52CA9" w:rsidRDefault="00D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A9" w:rsidRDefault="00D52CA9">
      <w:r>
        <w:separator/>
      </w:r>
    </w:p>
  </w:footnote>
  <w:footnote w:type="continuationSeparator" w:id="0">
    <w:p w:rsidR="00D52CA9" w:rsidRDefault="00D52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AE" w:rsidRPr="006360EB" w:rsidRDefault="00F028AA">
    <w:pPr>
      <w:pStyle w:val="ab"/>
      <w:jc w:val="right"/>
      <w:rPr>
        <w:rFonts w:ascii="Times New Roman" w:hAnsi="Times New Roman" w:cs="Times New Roman"/>
        <w:sz w:val="28"/>
        <w:szCs w:val="28"/>
      </w:rPr>
    </w:pPr>
    <w:r w:rsidRPr="006360EB">
      <w:rPr>
        <w:rFonts w:ascii="Times New Roman" w:hAnsi="Times New Roman" w:cs="Times New Roman"/>
        <w:sz w:val="28"/>
        <w:szCs w:val="28"/>
      </w:rPr>
      <w:fldChar w:fldCharType="begin"/>
    </w:r>
    <w:r w:rsidRPr="006360EB">
      <w:rPr>
        <w:rFonts w:ascii="Times New Roman" w:hAnsi="Times New Roman" w:cs="Times New Roman"/>
        <w:sz w:val="28"/>
        <w:szCs w:val="28"/>
      </w:rPr>
      <w:instrText>PAGE \* MERGEFORMAT</w:instrText>
    </w:r>
    <w:r w:rsidRPr="006360EB">
      <w:rPr>
        <w:rFonts w:ascii="Times New Roman" w:hAnsi="Times New Roman" w:cs="Times New Roman"/>
        <w:sz w:val="28"/>
        <w:szCs w:val="28"/>
      </w:rPr>
      <w:fldChar w:fldCharType="separate"/>
    </w:r>
    <w:r w:rsidR="00611767">
      <w:rPr>
        <w:rFonts w:ascii="Times New Roman" w:hAnsi="Times New Roman" w:cs="Times New Roman"/>
        <w:noProof/>
        <w:sz w:val="28"/>
        <w:szCs w:val="28"/>
      </w:rPr>
      <w:t>3</w:t>
    </w:r>
    <w:r w:rsidRPr="006360EB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AE" w:rsidRDefault="001B74AE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294"/>
    <w:multiLevelType w:val="hybridMultilevel"/>
    <w:tmpl w:val="9B82448A"/>
    <w:lvl w:ilvl="0" w:tplc="C90688DC">
      <w:start w:val="1"/>
      <w:numFmt w:val="decimal"/>
      <w:lvlText w:val="%1)"/>
      <w:lvlJc w:val="left"/>
      <w:pPr>
        <w:ind w:left="1069" w:hanging="360"/>
      </w:pPr>
    </w:lvl>
    <w:lvl w:ilvl="1" w:tplc="C18498C0">
      <w:start w:val="1"/>
      <w:numFmt w:val="lowerLetter"/>
      <w:lvlText w:val="%2."/>
      <w:lvlJc w:val="left"/>
      <w:pPr>
        <w:ind w:left="1789" w:hanging="360"/>
      </w:pPr>
    </w:lvl>
    <w:lvl w:ilvl="2" w:tplc="83F60C0E">
      <w:start w:val="1"/>
      <w:numFmt w:val="lowerRoman"/>
      <w:lvlText w:val="%3."/>
      <w:lvlJc w:val="right"/>
      <w:pPr>
        <w:ind w:left="2509" w:hanging="180"/>
      </w:pPr>
    </w:lvl>
    <w:lvl w:ilvl="3" w:tplc="DFDA6C20">
      <w:start w:val="1"/>
      <w:numFmt w:val="decimal"/>
      <w:lvlText w:val="%4."/>
      <w:lvlJc w:val="left"/>
      <w:pPr>
        <w:ind w:left="3229" w:hanging="360"/>
      </w:pPr>
    </w:lvl>
    <w:lvl w:ilvl="4" w:tplc="8A463464">
      <w:start w:val="1"/>
      <w:numFmt w:val="lowerLetter"/>
      <w:lvlText w:val="%5."/>
      <w:lvlJc w:val="left"/>
      <w:pPr>
        <w:ind w:left="3949" w:hanging="360"/>
      </w:pPr>
    </w:lvl>
    <w:lvl w:ilvl="5" w:tplc="70B43966">
      <w:start w:val="1"/>
      <w:numFmt w:val="lowerRoman"/>
      <w:lvlText w:val="%6."/>
      <w:lvlJc w:val="right"/>
      <w:pPr>
        <w:ind w:left="4669" w:hanging="180"/>
      </w:pPr>
    </w:lvl>
    <w:lvl w:ilvl="6" w:tplc="57CA37A2">
      <w:start w:val="1"/>
      <w:numFmt w:val="decimal"/>
      <w:lvlText w:val="%7."/>
      <w:lvlJc w:val="left"/>
      <w:pPr>
        <w:ind w:left="5389" w:hanging="360"/>
      </w:pPr>
    </w:lvl>
    <w:lvl w:ilvl="7" w:tplc="CC86D508">
      <w:start w:val="1"/>
      <w:numFmt w:val="lowerLetter"/>
      <w:lvlText w:val="%8."/>
      <w:lvlJc w:val="left"/>
      <w:pPr>
        <w:ind w:left="6109" w:hanging="360"/>
      </w:pPr>
    </w:lvl>
    <w:lvl w:ilvl="8" w:tplc="3BCEB84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9048B"/>
    <w:multiLevelType w:val="hybridMultilevel"/>
    <w:tmpl w:val="E118F7CC"/>
    <w:lvl w:ilvl="0" w:tplc="FBC2C7C4">
      <w:start w:val="1"/>
      <w:numFmt w:val="decimal"/>
      <w:lvlText w:val="%1)"/>
      <w:lvlJc w:val="left"/>
      <w:pPr>
        <w:ind w:left="1069" w:hanging="360"/>
      </w:pPr>
    </w:lvl>
    <w:lvl w:ilvl="1" w:tplc="62D60CDE">
      <w:start w:val="1"/>
      <w:numFmt w:val="lowerLetter"/>
      <w:lvlText w:val="%2."/>
      <w:lvlJc w:val="left"/>
      <w:pPr>
        <w:ind w:left="1789" w:hanging="360"/>
      </w:pPr>
    </w:lvl>
    <w:lvl w:ilvl="2" w:tplc="0D9EE52C">
      <w:start w:val="1"/>
      <w:numFmt w:val="lowerRoman"/>
      <w:lvlText w:val="%3."/>
      <w:lvlJc w:val="right"/>
      <w:pPr>
        <w:ind w:left="2509" w:hanging="180"/>
      </w:pPr>
    </w:lvl>
    <w:lvl w:ilvl="3" w:tplc="50A088BA">
      <w:start w:val="1"/>
      <w:numFmt w:val="decimal"/>
      <w:lvlText w:val="%4."/>
      <w:lvlJc w:val="left"/>
      <w:pPr>
        <w:ind w:left="3229" w:hanging="360"/>
      </w:pPr>
    </w:lvl>
    <w:lvl w:ilvl="4" w:tplc="DF067A4A">
      <w:start w:val="1"/>
      <w:numFmt w:val="lowerLetter"/>
      <w:lvlText w:val="%5."/>
      <w:lvlJc w:val="left"/>
      <w:pPr>
        <w:ind w:left="3949" w:hanging="360"/>
      </w:pPr>
    </w:lvl>
    <w:lvl w:ilvl="5" w:tplc="CA2A44F6">
      <w:start w:val="1"/>
      <w:numFmt w:val="lowerRoman"/>
      <w:lvlText w:val="%6."/>
      <w:lvlJc w:val="right"/>
      <w:pPr>
        <w:ind w:left="4669" w:hanging="180"/>
      </w:pPr>
    </w:lvl>
    <w:lvl w:ilvl="6" w:tplc="1B2CD644">
      <w:start w:val="1"/>
      <w:numFmt w:val="decimal"/>
      <w:lvlText w:val="%7."/>
      <w:lvlJc w:val="left"/>
      <w:pPr>
        <w:ind w:left="5389" w:hanging="360"/>
      </w:pPr>
    </w:lvl>
    <w:lvl w:ilvl="7" w:tplc="727EC940">
      <w:start w:val="1"/>
      <w:numFmt w:val="lowerLetter"/>
      <w:lvlText w:val="%8."/>
      <w:lvlJc w:val="left"/>
      <w:pPr>
        <w:ind w:left="6109" w:hanging="360"/>
      </w:pPr>
    </w:lvl>
    <w:lvl w:ilvl="8" w:tplc="425C2B6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01240"/>
    <w:multiLevelType w:val="hybridMultilevel"/>
    <w:tmpl w:val="A628F81E"/>
    <w:lvl w:ilvl="0" w:tplc="3B9084D4">
      <w:start w:val="1"/>
      <w:numFmt w:val="decimal"/>
      <w:lvlText w:val="%1."/>
      <w:lvlJc w:val="left"/>
      <w:pPr>
        <w:ind w:left="1069" w:hanging="360"/>
      </w:pPr>
    </w:lvl>
    <w:lvl w:ilvl="1" w:tplc="45E008AE">
      <w:start w:val="1"/>
      <w:numFmt w:val="lowerLetter"/>
      <w:lvlText w:val="%2."/>
      <w:lvlJc w:val="left"/>
      <w:pPr>
        <w:ind w:left="1789" w:hanging="360"/>
      </w:pPr>
    </w:lvl>
    <w:lvl w:ilvl="2" w:tplc="7C240A06">
      <w:start w:val="1"/>
      <w:numFmt w:val="lowerRoman"/>
      <w:lvlText w:val="%3."/>
      <w:lvlJc w:val="right"/>
      <w:pPr>
        <w:ind w:left="2509" w:hanging="180"/>
      </w:pPr>
    </w:lvl>
    <w:lvl w:ilvl="3" w:tplc="CC2C5DBC">
      <w:start w:val="1"/>
      <w:numFmt w:val="decimal"/>
      <w:lvlText w:val="%4."/>
      <w:lvlJc w:val="left"/>
      <w:pPr>
        <w:ind w:left="3229" w:hanging="360"/>
      </w:pPr>
    </w:lvl>
    <w:lvl w:ilvl="4" w:tplc="9066037C">
      <w:start w:val="1"/>
      <w:numFmt w:val="lowerLetter"/>
      <w:lvlText w:val="%5."/>
      <w:lvlJc w:val="left"/>
      <w:pPr>
        <w:ind w:left="3949" w:hanging="360"/>
      </w:pPr>
    </w:lvl>
    <w:lvl w:ilvl="5" w:tplc="137E3B30">
      <w:start w:val="1"/>
      <w:numFmt w:val="lowerRoman"/>
      <w:lvlText w:val="%6."/>
      <w:lvlJc w:val="right"/>
      <w:pPr>
        <w:ind w:left="4669" w:hanging="180"/>
      </w:pPr>
    </w:lvl>
    <w:lvl w:ilvl="6" w:tplc="FC7A9D5A">
      <w:start w:val="1"/>
      <w:numFmt w:val="decimal"/>
      <w:lvlText w:val="%7."/>
      <w:lvlJc w:val="left"/>
      <w:pPr>
        <w:ind w:left="5389" w:hanging="360"/>
      </w:pPr>
    </w:lvl>
    <w:lvl w:ilvl="7" w:tplc="30047A6E">
      <w:start w:val="1"/>
      <w:numFmt w:val="lowerLetter"/>
      <w:lvlText w:val="%8."/>
      <w:lvlJc w:val="left"/>
      <w:pPr>
        <w:ind w:left="6109" w:hanging="360"/>
      </w:pPr>
    </w:lvl>
    <w:lvl w:ilvl="8" w:tplc="348E786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143AC"/>
    <w:multiLevelType w:val="hybridMultilevel"/>
    <w:tmpl w:val="B1BC0E32"/>
    <w:lvl w:ilvl="0" w:tplc="109EFAB0">
      <w:start w:val="1"/>
      <w:numFmt w:val="decimal"/>
      <w:lvlText w:val="%1)"/>
      <w:lvlJc w:val="left"/>
      <w:pPr>
        <w:ind w:left="1069" w:hanging="360"/>
      </w:pPr>
    </w:lvl>
    <w:lvl w:ilvl="1" w:tplc="E86C1366">
      <w:start w:val="1"/>
      <w:numFmt w:val="lowerLetter"/>
      <w:lvlText w:val="%2."/>
      <w:lvlJc w:val="left"/>
      <w:pPr>
        <w:ind w:left="1789" w:hanging="360"/>
      </w:pPr>
    </w:lvl>
    <w:lvl w:ilvl="2" w:tplc="B5A4D16C">
      <w:start w:val="1"/>
      <w:numFmt w:val="lowerRoman"/>
      <w:lvlText w:val="%3."/>
      <w:lvlJc w:val="right"/>
      <w:pPr>
        <w:ind w:left="2509" w:hanging="180"/>
      </w:pPr>
    </w:lvl>
    <w:lvl w:ilvl="3" w:tplc="D834DFB2">
      <w:start w:val="1"/>
      <w:numFmt w:val="decimal"/>
      <w:lvlText w:val="%4."/>
      <w:lvlJc w:val="left"/>
      <w:pPr>
        <w:ind w:left="3229" w:hanging="360"/>
      </w:pPr>
    </w:lvl>
    <w:lvl w:ilvl="4" w:tplc="3BE4258A">
      <w:start w:val="1"/>
      <w:numFmt w:val="lowerLetter"/>
      <w:lvlText w:val="%5."/>
      <w:lvlJc w:val="left"/>
      <w:pPr>
        <w:ind w:left="3949" w:hanging="360"/>
      </w:pPr>
    </w:lvl>
    <w:lvl w:ilvl="5" w:tplc="93C09C5E">
      <w:start w:val="1"/>
      <w:numFmt w:val="lowerRoman"/>
      <w:lvlText w:val="%6."/>
      <w:lvlJc w:val="right"/>
      <w:pPr>
        <w:ind w:left="4669" w:hanging="180"/>
      </w:pPr>
    </w:lvl>
    <w:lvl w:ilvl="6" w:tplc="6D944570">
      <w:start w:val="1"/>
      <w:numFmt w:val="decimal"/>
      <w:lvlText w:val="%7."/>
      <w:lvlJc w:val="left"/>
      <w:pPr>
        <w:ind w:left="5389" w:hanging="360"/>
      </w:pPr>
    </w:lvl>
    <w:lvl w:ilvl="7" w:tplc="2B3ABDCC">
      <w:start w:val="1"/>
      <w:numFmt w:val="lowerLetter"/>
      <w:lvlText w:val="%8."/>
      <w:lvlJc w:val="left"/>
      <w:pPr>
        <w:ind w:left="6109" w:hanging="360"/>
      </w:pPr>
    </w:lvl>
    <w:lvl w:ilvl="8" w:tplc="ADE2597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75B3D"/>
    <w:multiLevelType w:val="hybridMultilevel"/>
    <w:tmpl w:val="E6D06F60"/>
    <w:lvl w:ilvl="0" w:tplc="20B89588">
      <w:start w:val="1"/>
      <w:numFmt w:val="decimal"/>
      <w:lvlText w:val="%1)"/>
      <w:lvlJc w:val="left"/>
      <w:pPr>
        <w:ind w:left="720" w:hanging="360"/>
      </w:pPr>
    </w:lvl>
    <w:lvl w:ilvl="1" w:tplc="FEBAEDA6">
      <w:start w:val="1"/>
      <w:numFmt w:val="lowerLetter"/>
      <w:lvlText w:val="%2."/>
      <w:lvlJc w:val="left"/>
      <w:pPr>
        <w:ind w:left="1440" w:hanging="360"/>
      </w:pPr>
    </w:lvl>
    <w:lvl w:ilvl="2" w:tplc="95AC679A">
      <w:start w:val="1"/>
      <w:numFmt w:val="lowerRoman"/>
      <w:lvlText w:val="%3."/>
      <w:lvlJc w:val="right"/>
      <w:pPr>
        <w:ind w:left="2160" w:hanging="180"/>
      </w:pPr>
    </w:lvl>
    <w:lvl w:ilvl="3" w:tplc="E8640A84">
      <w:start w:val="1"/>
      <w:numFmt w:val="decimal"/>
      <w:lvlText w:val="%4."/>
      <w:lvlJc w:val="left"/>
      <w:pPr>
        <w:ind w:left="2880" w:hanging="360"/>
      </w:pPr>
    </w:lvl>
    <w:lvl w:ilvl="4" w:tplc="B3A41506">
      <w:start w:val="1"/>
      <w:numFmt w:val="lowerLetter"/>
      <w:lvlText w:val="%5."/>
      <w:lvlJc w:val="left"/>
      <w:pPr>
        <w:ind w:left="3600" w:hanging="360"/>
      </w:pPr>
    </w:lvl>
    <w:lvl w:ilvl="5" w:tplc="F7343CB4">
      <w:start w:val="1"/>
      <w:numFmt w:val="lowerRoman"/>
      <w:lvlText w:val="%6."/>
      <w:lvlJc w:val="right"/>
      <w:pPr>
        <w:ind w:left="4320" w:hanging="180"/>
      </w:pPr>
    </w:lvl>
    <w:lvl w:ilvl="6" w:tplc="3048ABF2">
      <w:start w:val="1"/>
      <w:numFmt w:val="decimal"/>
      <w:lvlText w:val="%7."/>
      <w:lvlJc w:val="left"/>
      <w:pPr>
        <w:ind w:left="5040" w:hanging="360"/>
      </w:pPr>
    </w:lvl>
    <w:lvl w:ilvl="7" w:tplc="D03AE1EC">
      <w:start w:val="1"/>
      <w:numFmt w:val="lowerLetter"/>
      <w:lvlText w:val="%8."/>
      <w:lvlJc w:val="left"/>
      <w:pPr>
        <w:ind w:left="5760" w:hanging="360"/>
      </w:pPr>
    </w:lvl>
    <w:lvl w:ilvl="8" w:tplc="B89607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B1E10"/>
    <w:multiLevelType w:val="hybridMultilevel"/>
    <w:tmpl w:val="041C0276"/>
    <w:lvl w:ilvl="0" w:tplc="C36E05EA">
      <w:start w:val="1"/>
      <w:numFmt w:val="decimal"/>
      <w:lvlText w:val="%1."/>
      <w:lvlJc w:val="left"/>
      <w:pPr>
        <w:ind w:left="900" w:hanging="360"/>
      </w:pPr>
    </w:lvl>
    <w:lvl w:ilvl="1" w:tplc="556699F4">
      <w:start w:val="1"/>
      <w:numFmt w:val="lowerLetter"/>
      <w:lvlText w:val="%2."/>
      <w:lvlJc w:val="left"/>
      <w:pPr>
        <w:ind w:left="1620" w:hanging="360"/>
      </w:pPr>
    </w:lvl>
    <w:lvl w:ilvl="2" w:tplc="959C29E4">
      <w:start w:val="1"/>
      <w:numFmt w:val="lowerRoman"/>
      <w:lvlText w:val="%3."/>
      <w:lvlJc w:val="right"/>
      <w:pPr>
        <w:ind w:left="2340" w:hanging="180"/>
      </w:pPr>
    </w:lvl>
    <w:lvl w:ilvl="3" w:tplc="8702FA02">
      <w:start w:val="1"/>
      <w:numFmt w:val="decimal"/>
      <w:lvlText w:val="%4."/>
      <w:lvlJc w:val="left"/>
      <w:pPr>
        <w:ind w:left="3060" w:hanging="360"/>
      </w:pPr>
    </w:lvl>
    <w:lvl w:ilvl="4" w:tplc="D28025CA">
      <w:start w:val="1"/>
      <w:numFmt w:val="lowerLetter"/>
      <w:lvlText w:val="%5."/>
      <w:lvlJc w:val="left"/>
      <w:pPr>
        <w:ind w:left="3780" w:hanging="360"/>
      </w:pPr>
    </w:lvl>
    <w:lvl w:ilvl="5" w:tplc="052247A2">
      <w:start w:val="1"/>
      <w:numFmt w:val="lowerRoman"/>
      <w:lvlText w:val="%6."/>
      <w:lvlJc w:val="right"/>
      <w:pPr>
        <w:ind w:left="4500" w:hanging="180"/>
      </w:pPr>
    </w:lvl>
    <w:lvl w:ilvl="6" w:tplc="99F00D0E">
      <w:start w:val="1"/>
      <w:numFmt w:val="decimal"/>
      <w:lvlText w:val="%7."/>
      <w:lvlJc w:val="left"/>
      <w:pPr>
        <w:ind w:left="5220" w:hanging="360"/>
      </w:pPr>
    </w:lvl>
    <w:lvl w:ilvl="7" w:tplc="58D07844">
      <w:start w:val="1"/>
      <w:numFmt w:val="lowerLetter"/>
      <w:lvlText w:val="%8."/>
      <w:lvlJc w:val="left"/>
      <w:pPr>
        <w:ind w:left="5940" w:hanging="360"/>
      </w:pPr>
    </w:lvl>
    <w:lvl w:ilvl="8" w:tplc="573C1D86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4C66931"/>
    <w:multiLevelType w:val="hybridMultilevel"/>
    <w:tmpl w:val="9EA0D146"/>
    <w:lvl w:ilvl="0" w:tplc="25187DD0">
      <w:start w:val="1"/>
      <w:numFmt w:val="decimal"/>
      <w:lvlText w:val="%1)"/>
      <w:lvlJc w:val="left"/>
      <w:pPr>
        <w:ind w:left="1068" w:hanging="360"/>
      </w:pPr>
    </w:lvl>
    <w:lvl w:ilvl="1" w:tplc="366E6FF4">
      <w:start w:val="1"/>
      <w:numFmt w:val="lowerLetter"/>
      <w:lvlText w:val="%2."/>
      <w:lvlJc w:val="left"/>
      <w:pPr>
        <w:ind w:left="1788" w:hanging="360"/>
      </w:pPr>
    </w:lvl>
    <w:lvl w:ilvl="2" w:tplc="7146041C">
      <w:start w:val="1"/>
      <w:numFmt w:val="lowerRoman"/>
      <w:lvlText w:val="%3."/>
      <w:lvlJc w:val="right"/>
      <w:pPr>
        <w:ind w:left="2508" w:hanging="180"/>
      </w:pPr>
    </w:lvl>
    <w:lvl w:ilvl="3" w:tplc="FC306952">
      <w:start w:val="1"/>
      <w:numFmt w:val="decimal"/>
      <w:lvlText w:val="%4."/>
      <w:lvlJc w:val="left"/>
      <w:pPr>
        <w:ind w:left="3228" w:hanging="360"/>
      </w:pPr>
    </w:lvl>
    <w:lvl w:ilvl="4" w:tplc="1018C03E">
      <w:start w:val="1"/>
      <w:numFmt w:val="lowerLetter"/>
      <w:lvlText w:val="%5."/>
      <w:lvlJc w:val="left"/>
      <w:pPr>
        <w:ind w:left="3948" w:hanging="360"/>
      </w:pPr>
    </w:lvl>
    <w:lvl w:ilvl="5" w:tplc="A0C4F026">
      <w:start w:val="1"/>
      <w:numFmt w:val="lowerRoman"/>
      <w:lvlText w:val="%6."/>
      <w:lvlJc w:val="right"/>
      <w:pPr>
        <w:ind w:left="4668" w:hanging="180"/>
      </w:pPr>
    </w:lvl>
    <w:lvl w:ilvl="6" w:tplc="866E9DCC">
      <w:start w:val="1"/>
      <w:numFmt w:val="decimal"/>
      <w:lvlText w:val="%7."/>
      <w:lvlJc w:val="left"/>
      <w:pPr>
        <w:ind w:left="5388" w:hanging="360"/>
      </w:pPr>
    </w:lvl>
    <w:lvl w:ilvl="7" w:tplc="498CE348">
      <w:start w:val="1"/>
      <w:numFmt w:val="lowerLetter"/>
      <w:lvlText w:val="%8."/>
      <w:lvlJc w:val="left"/>
      <w:pPr>
        <w:ind w:left="6108" w:hanging="360"/>
      </w:pPr>
    </w:lvl>
    <w:lvl w:ilvl="8" w:tplc="D444CC5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F03AD0"/>
    <w:multiLevelType w:val="hybridMultilevel"/>
    <w:tmpl w:val="F31AD810"/>
    <w:lvl w:ilvl="0" w:tplc="9A4CBEFE">
      <w:start w:val="1"/>
      <w:numFmt w:val="decimal"/>
      <w:lvlText w:val="%1)"/>
      <w:lvlJc w:val="left"/>
      <w:pPr>
        <w:ind w:left="900" w:hanging="360"/>
      </w:pPr>
    </w:lvl>
    <w:lvl w:ilvl="1" w:tplc="C832A0DC">
      <w:start w:val="1"/>
      <w:numFmt w:val="lowerLetter"/>
      <w:lvlText w:val="%2."/>
      <w:lvlJc w:val="left"/>
      <w:pPr>
        <w:ind w:left="1620" w:hanging="360"/>
      </w:pPr>
    </w:lvl>
    <w:lvl w:ilvl="2" w:tplc="92AEA61E">
      <w:start w:val="1"/>
      <w:numFmt w:val="lowerRoman"/>
      <w:lvlText w:val="%3."/>
      <w:lvlJc w:val="right"/>
      <w:pPr>
        <w:ind w:left="2340" w:hanging="180"/>
      </w:pPr>
    </w:lvl>
    <w:lvl w:ilvl="3" w:tplc="7C124656">
      <w:start w:val="1"/>
      <w:numFmt w:val="decimal"/>
      <w:lvlText w:val="%4."/>
      <w:lvlJc w:val="left"/>
      <w:pPr>
        <w:ind w:left="3060" w:hanging="360"/>
      </w:pPr>
    </w:lvl>
    <w:lvl w:ilvl="4" w:tplc="B94075F8">
      <w:start w:val="1"/>
      <w:numFmt w:val="lowerLetter"/>
      <w:lvlText w:val="%5."/>
      <w:lvlJc w:val="left"/>
      <w:pPr>
        <w:ind w:left="3780" w:hanging="360"/>
      </w:pPr>
    </w:lvl>
    <w:lvl w:ilvl="5" w:tplc="191CBE80">
      <w:start w:val="1"/>
      <w:numFmt w:val="lowerRoman"/>
      <w:lvlText w:val="%6."/>
      <w:lvlJc w:val="right"/>
      <w:pPr>
        <w:ind w:left="4500" w:hanging="180"/>
      </w:pPr>
    </w:lvl>
    <w:lvl w:ilvl="6" w:tplc="D004BF2E">
      <w:start w:val="1"/>
      <w:numFmt w:val="decimal"/>
      <w:lvlText w:val="%7."/>
      <w:lvlJc w:val="left"/>
      <w:pPr>
        <w:ind w:left="5220" w:hanging="360"/>
      </w:pPr>
    </w:lvl>
    <w:lvl w:ilvl="7" w:tplc="D9368C20">
      <w:start w:val="1"/>
      <w:numFmt w:val="lowerLetter"/>
      <w:lvlText w:val="%8."/>
      <w:lvlJc w:val="left"/>
      <w:pPr>
        <w:ind w:left="5940" w:hanging="360"/>
      </w:pPr>
    </w:lvl>
    <w:lvl w:ilvl="8" w:tplc="4CC469CC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839EF"/>
    <w:multiLevelType w:val="hybridMultilevel"/>
    <w:tmpl w:val="AB2054C8"/>
    <w:lvl w:ilvl="0" w:tplc="E02A6A42">
      <w:start w:val="1"/>
      <w:numFmt w:val="decimal"/>
      <w:lvlText w:val="%1)"/>
      <w:lvlJc w:val="left"/>
      <w:pPr>
        <w:ind w:left="900" w:hanging="360"/>
      </w:pPr>
    </w:lvl>
    <w:lvl w:ilvl="1" w:tplc="F6188A94">
      <w:start w:val="1"/>
      <w:numFmt w:val="lowerLetter"/>
      <w:lvlText w:val="%2."/>
      <w:lvlJc w:val="left"/>
      <w:pPr>
        <w:ind w:left="1620" w:hanging="360"/>
      </w:pPr>
    </w:lvl>
    <w:lvl w:ilvl="2" w:tplc="EC54D656">
      <w:start w:val="1"/>
      <w:numFmt w:val="lowerRoman"/>
      <w:lvlText w:val="%3."/>
      <w:lvlJc w:val="right"/>
      <w:pPr>
        <w:ind w:left="2340" w:hanging="180"/>
      </w:pPr>
    </w:lvl>
    <w:lvl w:ilvl="3" w:tplc="1F2424E6">
      <w:start w:val="1"/>
      <w:numFmt w:val="decimal"/>
      <w:lvlText w:val="%4."/>
      <w:lvlJc w:val="left"/>
      <w:pPr>
        <w:ind w:left="3060" w:hanging="360"/>
      </w:pPr>
    </w:lvl>
    <w:lvl w:ilvl="4" w:tplc="17FC7808">
      <w:start w:val="1"/>
      <w:numFmt w:val="lowerLetter"/>
      <w:lvlText w:val="%5."/>
      <w:lvlJc w:val="left"/>
      <w:pPr>
        <w:ind w:left="3780" w:hanging="360"/>
      </w:pPr>
    </w:lvl>
    <w:lvl w:ilvl="5" w:tplc="36386902">
      <w:start w:val="1"/>
      <w:numFmt w:val="lowerRoman"/>
      <w:lvlText w:val="%6."/>
      <w:lvlJc w:val="right"/>
      <w:pPr>
        <w:ind w:left="4500" w:hanging="180"/>
      </w:pPr>
    </w:lvl>
    <w:lvl w:ilvl="6" w:tplc="D9042876">
      <w:start w:val="1"/>
      <w:numFmt w:val="decimal"/>
      <w:lvlText w:val="%7."/>
      <w:lvlJc w:val="left"/>
      <w:pPr>
        <w:ind w:left="5220" w:hanging="360"/>
      </w:pPr>
    </w:lvl>
    <w:lvl w:ilvl="7" w:tplc="8BF6DC30">
      <w:start w:val="1"/>
      <w:numFmt w:val="lowerLetter"/>
      <w:lvlText w:val="%8."/>
      <w:lvlJc w:val="left"/>
      <w:pPr>
        <w:ind w:left="5940" w:hanging="360"/>
      </w:pPr>
    </w:lvl>
    <w:lvl w:ilvl="8" w:tplc="AE241AA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0B10708"/>
    <w:multiLevelType w:val="hybridMultilevel"/>
    <w:tmpl w:val="D4148D1C"/>
    <w:lvl w:ilvl="0" w:tplc="EA429AD2">
      <w:start w:val="1"/>
      <w:numFmt w:val="decimal"/>
      <w:lvlText w:val="%1."/>
      <w:lvlJc w:val="left"/>
      <w:pPr>
        <w:ind w:left="900" w:hanging="360"/>
      </w:pPr>
    </w:lvl>
    <w:lvl w:ilvl="1" w:tplc="0150DBC2">
      <w:start w:val="1"/>
      <w:numFmt w:val="lowerLetter"/>
      <w:lvlText w:val="%2."/>
      <w:lvlJc w:val="left"/>
      <w:pPr>
        <w:ind w:left="1620" w:hanging="360"/>
      </w:pPr>
    </w:lvl>
    <w:lvl w:ilvl="2" w:tplc="5B182E44">
      <w:start w:val="1"/>
      <w:numFmt w:val="lowerRoman"/>
      <w:lvlText w:val="%3."/>
      <w:lvlJc w:val="right"/>
      <w:pPr>
        <w:ind w:left="2340" w:hanging="180"/>
      </w:pPr>
    </w:lvl>
    <w:lvl w:ilvl="3" w:tplc="52001A5E">
      <w:start w:val="1"/>
      <w:numFmt w:val="decimal"/>
      <w:lvlText w:val="%4."/>
      <w:lvlJc w:val="left"/>
      <w:pPr>
        <w:ind w:left="3060" w:hanging="360"/>
      </w:pPr>
    </w:lvl>
    <w:lvl w:ilvl="4" w:tplc="FF0E6D9A">
      <w:start w:val="1"/>
      <w:numFmt w:val="lowerLetter"/>
      <w:lvlText w:val="%5."/>
      <w:lvlJc w:val="left"/>
      <w:pPr>
        <w:ind w:left="3780" w:hanging="360"/>
      </w:pPr>
    </w:lvl>
    <w:lvl w:ilvl="5" w:tplc="0F94DBB8">
      <w:start w:val="1"/>
      <w:numFmt w:val="lowerRoman"/>
      <w:lvlText w:val="%6."/>
      <w:lvlJc w:val="right"/>
      <w:pPr>
        <w:ind w:left="4500" w:hanging="180"/>
      </w:pPr>
    </w:lvl>
    <w:lvl w:ilvl="6" w:tplc="E45A0BFE">
      <w:start w:val="1"/>
      <w:numFmt w:val="decimal"/>
      <w:lvlText w:val="%7."/>
      <w:lvlJc w:val="left"/>
      <w:pPr>
        <w:ind w:left="5220" w:hanging="360"/>
      </w:pPr>
    </w:lvl>
    <w:lvl w:ilvl="7" w:tplc="5AC8FE78">
      <w:start w:val="1"/>
      <w:numFmt w:val="lowerLetter"/>
      <w:lvlText w:val="%8."/>
      <w:lvlJc w:val="left"/>
      <w:pPr>
        <w:ind w:left="5940" w:hanging="360"/>
      </w:pPr>
    </w:lvl>
    <w:lvl w:ilvl="8" w:tplc="0E9E03AC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8DA2553"/>
    <w:multiLevelType w:val="hybridMultilevel"/>
    <w:tmpl w:val="5250370C"/>
    <w:lvl w:ilvl="0" w:tplc="4E84A1EE">
      <w:start w:val="1"/>
      <w:numFmt w:val="decimal"/>
      <w:lvlText w:val="%1)"/>
      <w:lvlJc w:val="left"/>
      <w:pPr>
        <w:ind w:left="1069" w:hanging="360"/>
      </w:pPr>
    </w:lvl>
    <w:lvl w:ilvl="1" w:tplc="A356AC2A">
      <w:start w:val="1"/>
      <w:numFmt w:val="lowerLetter"/>
      <w:lvlText w:val="%2."/>
      <w:lvlJc w:val="left"/>
      <w:pPr>
        <w:ind w:left="1789" w:hanging="360"/>
      </w:pPr>
    </w:lvl>
    <w:lvl w:ilvl="2" w:tplc="31C483C0">
      <w:start w:val="1"/>
      <w:numFmt w:val="lowerRoman"/>
      <w:lvlText w:val="%3."/>
      <w:lvlJc w:val="right"/>
      <w:pPr>
        <w:ind w:left="2509" w:hanging="180"/>
      </w:pPr>
    </w:lvl>
    <w:lvl w:ilvl="3" w:tplc="C37A9B14">
      <w:start w:val="1"/>
      <w:numFmt w:val="decimal"/>
      <w:lvlText w:val="%4."/>
      <w:lvlJc w:val="left"/>
      <w:pPr>
        <w:ind w:left="3229" w:hanging="360"/>
      </w:pPr>
    </w:lvl>
    <w:lvl w:ilvl="4" w:tplc="CD524F00">
      <w:start w:val="1"/>
      <w:numFmt w:val="lowerLetter"/>
      <w:lvlText w:val="%5."/>
      <w:lvlJc w:val="left"/>
      <w:pPr>
        <w:ind w:left="3949" w:hanging="360"/>
      </w:pPr>
    </w:lvl>
    <w:lvl w:ilvl="5" w:tplc="15B6487A">
      <w:start w:val="1"/>
      <w:numFmt w:val="lowerRoman"/>
      <w:lvlText w:val="%6."/>
      <w:lvlJc w:val="right"/>
      <w:pPr>
        <w:ind w:left="4669" w:hanging="180"/>
      </w:pPr>
    </w:lvl>
    <w:lvl w:ilvl="6" w:tplc="02FA7F72">
      <w:start w:val="1"/>
      <w:numFmt w:val="decimal"/>
      <w:lvlText w:val="%7."/>
      <w:lvlJc w:val="left"/>
      <w:pPr>
        <w:ind w:left="5389" w:hanging="360"/>
      </w:pPr>
    </w:lvl>
    <w:lvl w:ilvl="7" w:tplc="B6FA3ACE">
      <w:start w:val="1"/>
      <w:numFmt w:val="lowerLetter"/>
      <w:lvlText w:val="%8."/>
      <w:lvlJc w:val="left"/>
      <w:pPr>
        <w:ind w:left="6109" w:hanging="360"/>
      </w:pPr>
    </w:lvl>
    <w:lvl w:ilvl="8" w:tplc="7646D2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4AE"/>
    <w:rsid w:val="001B74AE"/>
    <w:rsid w:val="003A4400"/>
    <w:rsid w:val="005674CA"/>
    <w:rsid w:val="0059539B"/>
    <w:rsid w:val="00611767"/>
    <w:rsid w:val="006360EB"/>
    <w:rsid w:val="00D52CA9"/>
    <w:rsid w:val="00F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6768E-F5D6-4EE9-9DD7-DB7341B6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  <w:jc w:val="both"/>
    </w:pPr>
    <w:rPr>
      <w:rFonts w:ascii="Arial" w:hAnsi="Arial" w:cs="Arial Unicode MS"/>
      <w:color w:val="2D2D2D"/>
      <w:spacing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Верхн./нижн. кол.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  <w:ind w:firstLine="709"/>
      <w:jc w:val="both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fb">
    <w:name w:val="Нет"/>
  </w:style>
  <w:style w:type="character" w:customStyle="1" w:styleId="Hyperlink0">
    <w:name w:val="Hyperlink.0"/>
    <w:rPr>
      <w:rFonts w:ascii="Arial" w:eastAsia="Arial" w:hAnsi="Arial" w:cs="Arial"/>
      <w:color w:val="00466E"/>
      <w:spacing w:val="2"/>
      <w:sz w:val="21"/>
      <w:szCs w:val="21"/>
      <w:u w:val="single"/>
    </w:rPr>
  </w:style>
  <w:style w:type="character" w:customStyle="1" w:styleId="Hyperlink1">
    <w:name w:val="Hyperlink.1"/>
    <w:rPr>
      <w:rFonts w:ascii="Arial" w:eastAsia="Arial" w:hAnsi="Arial" w:cs="Arial"/>
      <w:color w:val="00466E"/>
      <w:spacing w:val="2"/>
      <w:sz w:val="31"/>
      <w:szCs w:val="31"/>
      <w:u w:val="single"/>
    </w:rPr>
  </w:style>
  <w:style w:type="character" w:customStyle="1" w:styleId="Hyperlink2">
    <w:name w:val="Hyperlink.2"/>
    <w:rPr>
      <w:color w:val="000000"/>
      <w:u w:val="single"/>
    </w:rPr>
  </w:style>
  <w:style w:type="character" w:customStyle="1" w:styleId="blk">
    <w:name w:val="blk"/>
    <w:basedOn w:val="a0"/>
  </w:style>
  <w:style w:type="paragraph" w:customStyle="1" w:styleId="formattext">
    <w:name w:val="formattext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pacing w:val="0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color w:val="2D2D2D"/>
      <w:spacing w:val="2"/>
      <w:sz w:val="18"/>
      <w:szCs w:val="18"/>
      <w:shd w:val="clear" w:color="auto" w:fill="FFFFFF"/>
    </w:rPr>
  </w:style>
  <w:style w:type="paragraph" w:customStyle="1" w:styleId="ConsPlusNormal">
    <w:name w:val="ConsPlusNormal"/>
    <w:pPr>
      <w:widowControl w:val="0"/>
      <w:ind w:firstLine="709"/>
      <w:jc w:val="both"/>
    </w:pPr>
    <w:rPr>
      <w:rFonts w:ascii="Calibri" w:eastAsia="Times New Roman" w:hAnsi="Calibri" w:cs="Calibri"/>
      <w:sz w:val="22"/>
    </w:rPr>
  </w:style>
  <w:style w:type="character" w:customStyle="1" w:styleId="ac">
    <w:name w:val="Верхний колонтитул Знак"/>
    <w:link w:val="ab"/>
    <w:uiPriority w:val="99"/>
    <w:rPr>
      <w:rFonts w:ascii="Arial" w:hAnsi="Arial" w:cs="Arial Unicode MS"/>
      <w:color w:val="2D2D2D"/>
      <w:spacing w:val="2"/>
      <w:sz w:val="21"/>
      <w:szCs w:val="21"/>
      <w:shd w:val="clear" w:color="auto" w:fill="FFFFFF"/>
    </w:rPr>
  </w:style>
  <w:style w:type="character" w:customStyle="1" w:styleId="ae">
    <w:name w:val="Нижний колонтитул Знак"/>
    <w:link w:val="ad"/>
    <w:uiPriority w:val="99"/>
    <w:rPr>
      <w:rFonts w:ascii="Arial" w:hAnsi="Arial" w:cs="Arial Unicode MS"/>
      <w:color w:val="2D2D2D"/>
      <w:spacing w:val="2"/>
      <w:sz w:val="21"/>
      <w:szCs w:val="21"/>
      <w:shd w:val="clear" w:color="auto" w:fill="FFFFFF"/>
    </w:rPr>
  </w:style>
  <w:style w:type="paragraph" w:customStyle="1" w:styleId="ConsPlusTitle">
    <w:name w:val="ConsPlusTitle"/>
    <w:pPr>
      <w:widowControl w:val="0"/>
      <w:ind w:firstLine="709"/>
      <w:jc w:val="both"/>
    </w:pPr>
    <w:rPr>
      <w:rFonts w:ascii="Calibri" w:eastAsia="Times New Roman" w:hAnsi="Calibri" w:cs="Calibri"/>
      <w:b/>
      <w:sz w:val="22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rFonts w:ascii="Arial" w:hAnsi="Arial" w:cs="Arial Unicode MS"/>
      <w:color w:val="2D2D2D"/>
      <w:spacing w:val="2"/>
      <w:shd w:val="clear" w:color="auto" w:fill="FFFFFF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rFonts w:ascii="Arial" w:hAnsi="Arial" w:cs="Arial Unicode MS"/>
      <w:b/>
      <w:bCs/>
      <w:color w:val="2D2D2D"/>
      <w:spacing w:val="2"/>
      <w:shd w:val="clear" w:color="auto" w:fill="FFFFFF"/>
    </w:rPr>
  </w:style>
  <w:style w:type="character" w:customStyle="1" w:styleId="aff3">
    <w:name w:val="Цветовое выделение"/>
    <w:uiPriority w:val="99"/>
    <w:rPr>
      <w:b/>
      <w:bCs/>
      <w:color w:val="26282F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1612" w:hanging="892"/>
    </w:pPr>
    <w:rPr>
      <w:rFonts w:ascii="times new roman cyr" w:eastAsia="Times New Roman" w:hAnsi="times new roman cyr" w:cs="times new roman cyr"/>
      <w:color w:val="000000"/>
      <w:spacing w:val="0"/>
      <w:sz w:val="24"/>
      <w:szCs w:val="24"/>
    </w:rPr>
  </w:style>
  <w:style w:type="character" w:styleId="aff6">
    <w:name w:val="Emphasis"/>
    <w:uiPriority w:val="20"/>
    <w:qFormat/>
    <w:rPr>
      <w:i/>
      <w:iCs/>
    </w:rPr>
  </w:style>
  <w:style w:type="paragraph" w:customStyle="1" w:styleId="aff7">
    <w:name w:val="Комментарий"/>
    <w:basedOn w:val="a"/>
    <w:next w:val="a"/>
    <w:uiPriority w:val="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75"/>
      <w:ind w:left="170"/>
    </w:pPr>
    <w:rPr>
      <w:rFonts w:ascii="times new roman cyr" w:eastAsia="Times New Roman" w:hAnsi="times new roman cyr" w:cs="times new roman cyr"/>
      <w:color w:val="353842"/>
      <w:spacing w:val="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7177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449814/9002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5742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574294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Дарья Матвеевна Калаева</cp:lastModifiedBy>
  <cp:revision>14</cp:revision>
  <dcterms:created xsi:type="dcterms:W3CDTF">2022-11-07T08:01:00Z</dcterms:created>
  <dcterms:modified xsi:type="dcterms:W3CDTF">2022-12-08T09:42:00Z</dcterms:modified>
  <cp:version>917504</cp:version>
</cp:coreProperties>
</file>